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/>
        <w:jc w:val="center"/>
        <w:rPr/>
      </w:pPr>
      <w:r w:rsidDel="00000000" w:rsidR="00000000" w:rsidRPr="00000000">
        <w:rPr/>
        <w:drawing>
          <wp:inline distB="0" distT="0" distL="0" distR="0">
            <wp:extent cx="1620000" cy="142305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20000" cy="14230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14:paraId="00000201">
      <w:pPr>
        <w:keepNext/>
        <w:spacing w:before="240" w:after="0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PO KOLIZJI – LISTA KONTROLNA</w:t>
      </w:r>
    </w:p>
    <w:p w14:paraId="00000202">
      <w:pPr>
        <w:keepNext/>
        <w:spacing w:before="0" w:after="240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NAJWAŻNIEJSZE KROKI I DOKUMENTY NA MIEJSCU ZDARZENIA</w:t>
      </w:r>
    </w:p>
    <w:p w14:paraId="00000203">
      <w:pPr>
        <w:spacing w:before="0" w:after="120"/>
        <w:ind w:firstLine="708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To, co zostanie ustalone i udokumentowane na miejscu kolizji, ma duże znaczenie przy późniejszej likwidacji szkody. Warto wydrukować tę listę i wozić ją w schowku pojazdu.</w:t>
      </w:r>
    </w:p>
    <w:p w14:paraId="00000204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1. ZABEZPIECZYĆ MIEJSCE ZDARZENIA</w:t>
      </w:r>
    </w:p>
    <w:p w14:paraId="00000205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Zatrzymać pojazd w sposób niepowodujący zagrożenia, włączyć światła awaryjne, założyć kamizelkę odblaskową.</w:t>
      </w:r>
    </w:p>
    <w:p w14:paraId="00000206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Ustawić trójkąt ostrzegawczy: w obszarze zabudowanym tuż za pojazdem, poza nim 30–50 m, a na autostradzie i drodze ekspresowej 100 m za pojazdem.</w:t>
      </w:r>
    </w:p>
    <w:p w14:paraId="00000207">
      <w:pPr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Pasażerowie powinni opuścić pojazd i przejść w bezpieczne miejsce poza jezdnią, najlepiej za barierę.</w:t>
      </w:r>
    </w:p>
    <w:p w14:paraId="00000208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2. SPRAWDZIĆ, CZY KTOŚ JEST RANNY</w:t>
      </w:r>
    </w:p>
    <w:p w14:paraId="00000209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Jeżeli są ranni: zadzwonić pod </w:t>
      </w:r>
      <w:r>
        <w:rPr>
          <w:rFonts w:ascii="Times New Roman" w:cs="Times New Roman" w:eastAsia="Times New Roman" w:hAnsi="Times New Roman"/>
          <w:b w:val="1"/>
          <w:bCs w:val="1"/>
        </w:rPr>
        <w:t xml:space="preserve">112</w:t>
      </w:r>
      <w:r>
        <w:rPr>
          <w:rFonts w:ascii="Times New Roman" w:cs="Times New Roman" w:eastAsia="Times New Roman" w:hAnsi="Times New Roman"/>
        </w:rPr>
        <w:t xml:space="preserve">, udzielić pierwszej pomocy, </w:t>
      </w:r>
      <w:r>
        <w:rPr>
          <w:rFonts w:ascii="Times New Roman" w:cs="Times New Roman" w:eastAsia="Times New Roman" w:hAnsi="Times New Roman"/>
          <w:b w:val="1"/>
          <w:bCs w:val="1"/>
        </w:rPr>
        <w:t xml:space="preserve">nie przestawiać pojazdów</w:t>
      </w:r>
      <w:r>
        <w:rPr>
          <w:rFonts w:ascii="Times New Roman" w:cs="Times New Roman" w:eastAsia="Times New Roman" w:hAnsi="Times New Roman"/>
        </w:rPr>
        <w:t xml:space="preserve"> i pozostać na miejscu do przyjazdu Policji.</w:t>
      </w:r>
    </w:p>
    <w:p w14:paraId="0000020A">
      <w:pPr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Nawet przy drobnych dolegliwościach (ból szyi, głowy, pleców) warto jeszcze tego samego dnia zgłosić się do lekarza – dokumentacja medyczna jest podstawą roszczeń o zadośćuczynienie.</w:t>
      </w:r>
    </w:p>
    <w:p w14:paraId="0000020B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3. OŚWIADCZENIE SPRAWCY CZY POLICJA?</w:t>
      </w:r>
    </w:p>
    <w:p w14:paraId="0000020C">
      <w:pPr>
        <w:keepNext/>
        <w:spacing w:before="0" w:after="6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Policję (112) należy wezwać w szczególności, gdy:</w:t>
      </w:r>
    </w:p>
    <w:p w14:paraId="0000020D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ktoś został ranny,</w:t>
      </w:r>
    </w:p>
    <w:p w14:paraId="0000020E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uczestnicy nie zgadzają się co do tego, kto zawinił,</w:t>
      </w:r>
    </w:p>
    <w:p w14:paraId="0000020F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istnieje podejrzenie, że kierujący jest pod wpływem alkoholu lub środków odurzających,</w:t>
      </w:r>
    </w:p>
    <w:p w14:paraId="00000210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sprawca nie ma ważnego ubezpieczenia OC, prawa jazdy lub dokumentów albo odmawia podania danych,</w:t>
      </w:r>
    </w:p>
    <w:p w14:paraId="00000211">
      <w:pPr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sprawca odjechał z miejsca zdarzenia.</w:t>
      </w:r>
    </w:p>
    <w:p w14:paraId="00000212">
      <w:pPr>
        <w:spacing w:before="0" w:after="120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W pozostałych przypadkach wystarczy oświadczenie sprawcy (krok 7). Jeżeli nikt nie jest ranny, a pojazdy tamują ruch, po zrobieniu zdjęć należy usunąć je z jezdni (art. 44 Prawa o ruchu drogowym).</w:t>
      </w:r>
    </w:p>
    <w:p w14:paraId="00000213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4. ZDJĘCIA I NAGRANIA</w:t>
      </w:r>
    </w:p>
    <w:p w14:paraId="00000214">
      <w:pPr>
        <w:keepNext/>
        <w:spacing w:before="0" w:after="6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Zdjęcia najlepiej zrobić przed przestawieniem pojazdów:</w:t>
      </w:r>
    </w:p>
    <w:p w14:paraId="00000215">
      <w:pPr>
        <w:keepNext/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ogólny widok miejsca zdarzenia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ustawienie pojazdów względem siebie</w:t>
      </w:r>
    </w:p>
    <w:p w14:paraId="00000216">
      <w:pPr>
        <w:keepNext/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tablice rejestracyjne obu pojazdów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uszkodzenia – z bliska i z daleka</w:t>
      </w:r>
    </w:p>
    <w:p w14:paraId="00000217">
      <w:pPr>
        <w:keepNext/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ślady hamowania, odłamki, plamy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znaki drogowe i sygnalizacja</w:t>
      </w:r>
    </w:p>
    <w:p w14:paraId="00000218">
      <w:pPr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warunki: oświetlenie, nawierzchnia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dokumenty drugiej strony (za zgodą)</w:t>
      </w:r>
    </w:p>
    <w:p w14:paraId="00000219">
      <w:pPr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Zabezpieczyć nagranie z wideorejestratora i ustalić, czy w pobliżu są kamery monitoringu – nagrania bywają kasowane po kilku dniach.</w:t>
      </w:r>
    </w:p>
    <w:p w14:paraId="0000021A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5. DANE DRUGIEJ STRONY</w:t>
      </w:r>
    </w:p>
    <w:p w14:paraId="0000021B">
      <w:pPr>
        <w:tabs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Imię i nazwisko kierującego: </w:t>
      </w:r>
      <w:r>
        <w:rPr>
          <w:rFonts w:ascii="Times New Roman" w:cs="Times New Roman" w:eastAsia="Times New Roman" w:hAnsi="Times New Roman"/>
        </w:rPr>
        <w:tab/>
      </w:r>
    </w:p>
    <w:p w14:paraId="0000021C">
      <w:pPr>
        <w:tabs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Adres: </w:t>
      </w:r>
      <w:r>
        <w:rPr>
          <w:rFonts w:ascii="Times New Roman" w:cs="Times New Roman" w:eastAsia="Times New Roman" w:hAnsi="Times New Roman"/>
        </w:rPr>
        <w:tab/>
      </w:r>
    </w:p>
    <w:p w14:paraId="0000021D">
      <w:pPr>
        <w:tabs>
          <w:tab w:val="right" w:leader="dot" w:pos="4800"/>
          <w:tab w:val="left" w:pos="5103"/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Telefon: 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Nr prawa jazdy: </w:t>
      </w:r>
      <w:r>
        <w:rPr>
          <w:rFonts w:ascii="Times New Roman" w:cs="Times New Roman" w:eastAsia="Times New Roman" w:hAnsi="Times New Roman"/>
        </w:rPr>
        <w:tab/>
      </w:r>
    </w:p>
    <w:p w14:paraId="0000021E">
      <w:pPr>
        <w:tabs>
          <w:tab w:val="right" w:leader="dot" w:pos="4800"/>
          <w:tab w:val="left" w:pos="5103"/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Nr rejestracyjny: 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Marka i model: </w:t>
      </w:r>
      <w:r>
        <w:rPr>
          <w:rFonts w:ascii="Times New Roman" w:cs="Times New Roman" w:eastAsia="Times New Roman" w:hAnsi="Times New Roman"/>
        </w:rPr>
        <w:tab/>
      </w:r>
    </w:p>
    <w:p w14:paraId="0000021F">
      <w:pPr>
        <w:tabs>
          <w:tab w:val="right" w:leader="dot" w:pos="4800"/>
          <w:tab w:val="left" w:pos="5103"/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Ubezpieczyciel OC: 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Nr polisy: </w:t>
      </w:r>
      <w:r>
        <w:rPr>
          <w:rFonts w:ascii="Times New Roman" w:cs="Times New Roman" w:eastAsia="Times New Roman" w:hAnsi="Times New Roman"/>
        </w:rPr>
        <w:tab/>
      </w:r>
    </w:p>
    <w:p w14:paraId="00000220">
      <w:pPr>
        <w:tabs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Właściciel pojazdu (jeżeli inny niż kierujący): </w:t>
      </w:r>
      <w:r>
        <w:rPr>
          <w:rFonts w:ascii="Times New Roman" w:cs="Times New Roman" w:eastAsia="Times New Roman" w:hAnsi="Times New Roman"/>
        </w:rPr>
        <w:tab/>
      </w:r>
    </w:p>
    <w:p w14:paraId="00000221">
      <w:pPr>
        <w:spacing w:before="0" w:after="120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  <w:t xml:space="preserve">Ważność polisy OC drugiego pojazdu można sprawdzić na stronie Ubezpieczeniowego Funduszu Gwarancyjnego (ufg.pl).</w:t>
      </w:r>
    </w:p>
    <w:p w14:paraId="00000222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6. ŚWIADKOWIE</w:t>
      </w:r>
    </w:p>
    <w:p w14:paraId="00000223">
      <w:pPr>
        <w:tabs>
          <w:tab w:val="right" w:leader="dot" w:pos="4800"/>
          <w:tab w:val="left" w:pos="5103"/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Imię i nazwisko: 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Telefon: </w:t>
      </w:r>
      <w:r>
        <w:rPr>
          <w:rFonts w:ascii="Times New Roman" w:cs="Times New Roman" w:eastAsia="Times New Roman" w:hAnsi="Times New Roman"/>
        </w:rPr>
        <w:tab/>
      </w:r>
    </w:p>
    <w:p w14:paraId="00000224">
      <w:pPr>
        <w:tabs>
          <w:tab w:val="right" w:leader="dot" w:pos="4800"/>
          <w:tab w:val="left" w:pos="5103"/>
          <w:tab w:val="right" w:leader="dot" w:pos="9922"/>
        </w:tabs>
        <w:spacing w:before="0" w:after="10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Imię i nazwisko: 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</w:rPr>
        <w:t xml:space="preserve">Telefon: </w:t>
      </w:r>
      <w:r>
        <w:rPr>
          <w:rFonts w:ascii="Times New Roman" w:cs="Times New Roman" w:eastAsia="Times New Roman" w:hAnsi="Times New Roman"/>
        </w:rPr>
        <w:tab/>
      </w:r>
    </w:p>
    <w:p w14:paraId="00000225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7. OŚWIADCZENIE SPRAWCY – CO MUSI ZAWIERAĆ</w:t>
      </w:r>
    </w:p>
    <w:p w14:paraId="00000226">
      <w:pPr>
        <w:keepNext/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datę, godzinę i miejsce zdarzenia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dane kierujących i właścicieli pojazdów</w:t>
      </w:r>
    </w:p>
    <w:p w14:paraId="00000227">
      <w:pPr>
        <w:keepNext/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marki, modele, nr rejestracyjne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ubezpieczyciela i nr polisy OC sprawcy</w:t>
      </w:r>
    </w:p>
    <w:p w14:paraId="00000228">
      <w:pPr>
        <w:keepNext/>
        <w:tabs>
          <w:tab w:val="left" w:pos="5103"/>
        </w:tabs>
        <w:spacing w:before="0" w:after="60"/>
        <w:ind w:left="284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opis przebiegu zdarzenia i szkic</w:t>
      </w:r>
      <w:r>
        <w:rPr>
          <w:rFonts w:ascii="Times New Roman" w:cs="Times New Roman" w:eastAsia="Times New Roman" w:hAnsi="Times New Roman"/>
        </w:rPr>
        <w:tab/>
      </w: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opis uszkodzeń obu pojazdów</w:t>
      </w:r>
    </w:p>
    <w:p w14:paraId="00000229">
      <w:pPr>
        <w:spacing w:before="0" w:after="6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  <w:b w:val="1"/>
          <w:bCs w:val="1"/>
        </w:rPr>
        <w:t xml:space="preserve">jednoznaczne przyznanie się do winy</w:t>
      </w:r>
      <w:r>
        <w:rPr>
          <w:rFonts w:ascii="Times New Roman" w:cs="Times New Roman" w:eastAsia="Times New Roman" w:hAnsi="Times New Roman"/>
        </w:rPr>
        <w:t xml:space="preserve"> przez sprawcę oraz czytelne podpisy obu kierujących – po jednym egzemplarzu dla każdej strony.</w:t>
      </w:r>
    </w:p>
    <w:p w14:paraId="0000022A">
      <w:pPr>
        <w:spacing w:before="0" w:after="120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i w:val="1"/>
          <w:iCs w:val="1"/>
          <w:sz w:val="20"/>
          <w:szCs w:val="20"/>
        </w:rPr>
        <w:t xml:space="preserve">Można skorzystać z druku wspólnego oświadczenia o zdarzeniu drogowym lub napisać oświadczenie odręcznie.</w:t>
      </w:r>
    </w:p>
    <w:p w14:paraId="0000022B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KROK 8. PO POWROCIE Z MIEJSCA ZDARZENIA</w:t>
      </w:r>
    </w:p>
    <w:p w14:paraId="0000022C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Zgłosić szkodę jak najszybciej: z OC – ubezpieczycielowi sprawcy, z AC – własnemu (w terminie z OWU). Sprawca kolizji powiadamia także swojego ubezpieczyciela OC.</w:t>
      </w:r>
    </w:p>
    <w:p w14:paraId="0000022D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Nie naprawiać pojazdu przed oględzinami przez ubezpieczyciela.</w:t>
      </w:r>
    </w:p>
    <w:p w14:paraId="0000022E">
      <w:pPr>
        <w:keepNext/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Zachowywać faktury i rachunki: holowanie, parking, pojazd zastępczy, leczenie, dojazdy.</w:t>
      </w:r>
    </w:p>
    <w:p w14:paraId="0000022F">
      <w:pPr>
        <w:spacing w:before="0" w:after="40"/>
        <w:ind w:left="567" w:hanging="283"/>
        <w:jc w:val="left"/>
        <w:rPr>
          <w:rFonts w:ascii="Times New Roman" w:cs="Times New Roman" w:eastAsia="Times New Roman" w:hAnsi="Times New Roman"/>
        </w:rPr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</w:rPr>
            <w:t>☐</w:t>
          </w:r>
        </w:sdtContent>
      </w:sdt>
      <w:r>
        <w:rPr>
          <w:rFonts w:ascii="Times New Roman" w:cs="Times New Roman" w:eastAsia="Times New Roman" w:hAnsi="Times New Roman"/>
        </w:rPr>
        <w:t xml:space="preserve"> </w:t>
      </w:r>
      <w:r>
        <w:rPr>
          <w:rFonts w:ascii="Times New Roman" w:cs="Times New Roman" w:eastAsia="Times New Roman" w:hAnsi="Times New Roman"/>
        </w:rPr>
        <w:t xml:space="preserve">Jeżeli sprawca nie miał OC lub uciekł z miejsca zdarzenia – szkodę zgłasza się do Ubezpieczeniowego Funduszu Gwarancyjnego.</w:t>
      </w:r>
    </w:p>
    <w:p w14:paraId="00000230">
      <w:pPr>
        <w:keepNext/>
        <w:spacing w:before="160" w:after="80"/>
        <w:jc w:val="left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CZEGO UNIKAĆ</w:t>
      </w:r>
    </w:p>
    <w:p w14:paraId="00000231">
      <w:pPr>
        <w:tabs>
          <w:tab w:val="left" w:pos="284"/>
        </w:tabs>
        <w:spacing w:before="0" w:after="80"/>
        <w:ind w:left="284" w:hanging="284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–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  <w:b w:val="1"/>
          <w:bCs w:val="1"/>
        </w:rPr>
        <w:t xml:space="preserve">Nie podpisywać</w:t>
      </w:r>
      <w:r>
        <w:rPr>
          <w:rFonts w:ascii="Times New Roman" w:cs="Times New Roman" w:eastAsia="Times New Roman" w:hAnsi="Times New Roman"/>
        </w:rPr>
        <w:t xml:space="preserve"> dokumentów, których treść jest niezrozumiała lub nieprawdziwa.</w:t>
      </w:r>
    </w:p>
    <w:p w14:paraId="00000232">
      <w:pPr>
        <w:tabs>
          <w:tab w:val="left" w:pos="284"/>
        </w:tabs>
        <w:spacing w:before="0" w:after="80"/>
        <w:ind w:left="284" w:hanging="284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–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  <w:b w:val="1"/>
          <w:bCs w:val="1"/>
        </w:rPr>
        <w:t xml:space="preserve">Nie przyznawać się pochopnie do winy</w:t>
      </w:r>
      <w:r>
        <w:rPr>
          <w:rFonts w:ascii="Times New Roman" w:cs="Times New Roman" w:eastAsia="Times New Roman" w:hAnsi="Times New Roman"/>
        </w:rPr>
        <w:t xml:space="preserve">, jeżeli przebieg zdarzenia jest niejasny – lepiej wezwać Policję.</w:t>
      </w:r>
    </w:p>
    <w:p w14:paraId="00000233">
      <w:pPr>
        <w:tabs>
          <w:tab w:val="left" w:pos="284"/>
        </w:tabs>
        <w:spacing w:before="0" w:after="80"/>
        <w:ind w:left="284" w:hanging="284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–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  <w:b w:val="1"/>
          <w:bCs w:val="1"/>
        </w:rPr>
        <w:t xml:space="preserve">Nie odjeżdżać</w:t>
      </w:r>
      <w:r>
        <w:rPr>
          <w:rFonts w:ascii="Times New Roman" w:cs="Times New Roman" w:eastAsia="Times New Roman" w:hAnsi="Times New Roman"/>
        </w:rPr>
        <w:t xml:space="preserve"> z miejsca zdarzenia bez wymiany danych.</w:t>
      </w:r>
    </w:p>
    <w:p w14:paraId="00000234">
      <w:pPr>
        <w:tabs>
          <w:tab w:val="left" w:pos="284"/>
        </w:tabs>
        <w:spacing w:before="0" w:after="80"/>
        <w:ind w:left="284" w:hanging="284"/>
        <w:jc w:val="both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</w:rPr>
        <w:t xml:space="preserve">–</w:t>
      </w:r>
      <w:r>
        <w:rPr>
          <w:rFonts w:ascii="Times New Roman" w:cs="Times New Roman" w:eastAsia="Times New Roman" w:hAnsi="Times New Roman"/>
        </w:rPr>
        <w:tab/>
      </w:r>
      <w:r>
        <w:rPr>
          <w:rFonts w:ascii="Times New Roman" w:cs="Times New Roman" w:eastAsia="Times New Roman" w:hAnsi="Times New Roman"/>
          <w:b w:val="1"/>
          <w:bCs w:val="1"/>
        </w:rPr>
        <w:t xml:space="preserve">Nie zgadzać się na „ugodę na rękę”</w:t>
      </w:r>
      <w:r>
        <w:rPr>
          <w:rFonts w:ascii="Times New Roman" w:cs="Times New Roman" w:eastAsia="Times New Roman" w:hAnsi="Times New Roman"/>
        </w:rPr>
        <w:t xml:space="preserve"> bez spisania oświadczenia – uszkodzenia często okazują się poważniejsze niż na pierwszy rzut oka.</w:t>
      </w:r>
    </w:p>
    <w:p w14:paraId="00000235">
      <w:pPr>
        <w:spacing w:before="160" w:after="0"/>
        <w:jc w:val="center"/>
        <w:rPr>
          <w:rFonts w:ascii="Times New Roman" w:cs="Times New Roman" w:eastAsia="Times New Roman" w:hAnsi="Times New Roman"/>
        </w:rPr>
      </w:pPr>
      <w:r>
        <w:rPr>
          <w:rFonts w:ascii="Times New Roman" w:cs="Times New Roman" w:eastAsia="Times New Roman" w:hAnsi="Times New Roman"/>
          <w:b w:val="1"/>
          <w:bCs w:val="1"/>
        </w:rPr>
        <w:t xml:space="preserve">Przy szkodzie na osobie, sporze o winę lub zaniżonej wycenie szkody zapraszamy do kontaktu z Kancelarią: tel. 501 875 985, e-mail: biuro@kancelariaborkowski.pl.</w:t>
      </w:r>
    </w:p>
    <w:p w:rsidR="00000000" w:rsidDel="00000000" w:rsidP="00000000" w:rsidRDefault="00000000" w:rsidRPr="00000000" w14:paraId="00000021">
      <w:pPr>
        <w:keepLines/>
        <w:spacing w:before="240" w:after="0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/>
        <w:drawing>
          <wp:inline distB="0" distT="0" distL="0" distR="0">
            <wp:extent cx="1080000" cy="839500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080000" cy="839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993" w:right="991" w:header="708" w:footer="708" w:gut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table" w:styleId="Tabela-Siatka">
    <w:name w:val="Table Grid"/>
    <w:basedOn w:val="Standardowy"/>
    <w:uiPriority w:val="59"/>
    <w:rsid w:val="000A2B9D"/>
    <w:pPr>
      <w:spacing w:after="0" w:line="240" w:lineRule="auto"/>
    </w:pPr>
    <w:tblPr>
      <w:tblInd w:w="0.0" w:type="dxa"/>
      <w:tblBorders>
        <w:top w:color="000000" w:space="0" w:sz="4" w:themeColor="text1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000000" w:space="0" w:sz="4" w:themeColor="text1" w:val="single"/>
        <w:insideV w:color="000000" w:space="0" w:sz="4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Akapitzlist">
    <w:name w:val="List Paragraph"/>
    <w:basedOn w:val="Normalny"/>
    <w:uiPriority w:val="34"/>
    <w:qFormat w:val="1"/>
    <w:rsid w:val="006D698A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9PyVdJvHE3jlK4HdqsQDkKTN+sA==">CgMxLjA4AHIhMWdvcnJ5LVgwNWdWZGt2ZTZTMTlVLS12RGZPc0NzakpO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2026-05-26T11:32:00Z</dcterms:created>
  <dc:creator>M S</dc:creator>
</cp:coreProperties>
</file>